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E3" w:rsidRDefault="002D27E3" w:rsidP="00390A60">
      <w:pPr>
        <w:rPr>
          <w:b/>
        </w:rPr>
      </w:pPr>
      <w:r>
        <w:rPr>
          <w:noProof/>
        </w:rPr>
        <w:drawing>
          <wp:inline distT="0" distB="0" distL="0" distR="0" wp14:anchorId="3596DCB3" wp14:editId="779D9DA9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4B6460A" wp14:editId="0FA9F256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27E3" w:rsidRPr="0060740D" w:rsidRDefault="002D27E3" w:rsidP="00390A60"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2D27E3" w:rsidRPr="0060740D" w:rsidRDefault="002D27E3" w:rsidP="00390A60"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2D27E3" w:rsidRPr="008F0500" w:rsidRDefault="002D27E3" w:rsidP="008F0500">
      <w:pPr>
        <w:spacing w:before="0" w:after="0" w:line="360" w:lineRule="auto"/>
        <w:rPr>
          <w:rFonts w:cs="Arial"/>
        </w:rPr>
      </w:pPr>
      <w:r w:rsidRPr="002D27E3">
        <w:t>DECYZJA Nr 15/2020</w:t>
      </w:r>
      <w:r w:rsidRPr="002D27E3">
        <w:br/>
        <w:t>DZIEKANA WYDZIAŁU AGROBIOINŻYNIERII i NAUK O ZWIERZĘTACH</w:t>
      </w:r>
      <w:r w:rsidRPr="002D27E3">
        <w:br/>
        <w:t>UNIWERSYTETU PRZYRODNICZO-HUMANISTYCZNEGO w Siedlcach</w:t>
      </w:r>
      <w:r w:rsidRPr="002D27E3">
        <w:br/>
      </w:r>
      <w:r w:rsidRPr="002D27E3">
        <w:rPr>
          <w:rFonts w:cs="Arial"/>
        </w:rPr>
        <w:t>z dnia 2 listopada 2020 roku w sprawie powołania Wydziałowej Komisji do spraw Oceny Nauczycieli Akademickich na kadencję w latach 2020-2024</w:t>
      </w:r>
      <w:r>
        <w:br/>
      </w:r>
      <w:r w:rsidR="008F0500">
        <w:br/>
      </w:r>
      <w:bookmarkStart w:id="0" w:name="_GoBack"/>
      <w:bookmarkEnd w:id="0"/>
      <w:r w:rsidRPr="002D27E3">
        <w:t xml:space="preserve">Na podstawie § 55 ust. 3 pkt 5 Statutu UPH, w związku z § 21 ust. 3 pkt 15 Regulaminu organizacyjnego UPH, wprowadzonego Zarządzeniem Rektora Nr 71/2019 z dnia 12 lipca 2019 r. z </w:t>
      </w:r>
      <w:proofErr w:type="spellStart"/>
      <w:r w:rsidRPr="002D27E3">
        <w:t>późn</w:t>
      </w:r>
      <w:proofErr w:type="spellEnd"/>
      <w:r w:rsidRPr="002D27E3">
        <w:t>. zmianami:</w:t>
      </w:r>
    </w:p>
    <w:p w:rsidR="002D27E3" w:rsidRPr="00E23411" w:rsidRDefault="002D27E3" w:rsidP="002D27E3">
      <w:pPr>
        <w:numPr>
          <w:ilvl w:val="0"/>
          <w:numId w:val="4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Powołuję Wydziałową Komisję do spraw Oceny Nauczycieli Akademickich w następującym składzie:</w:t>
      </w:r>
    </w:p>
    <w:p w:rsidR="002D27E3" w:rsidRPr="00E23411" w:rsidRDefault="002D27E3" w:rsidP="002D27E3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prof. dr hab. Krystyna Zarzecka – przewodnicząca;</w:t>
      </w:r>
    </w:p>
    <w:p w:rsidR="002D27E3" w:rsidRPr="00E23411" w:rsidRDefault="002D27E3" w:rsidP="002D27E3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prof. dr hab. Wanda Wadas – członek;</w:t>
      </w:r>
    </w:p>
    <w:p w:rsidR="002D27E3" w:rsidRPr="00E23411" w:rsidRDefault="002D27E3" w:rsidP="002D27E3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prof. dr hab. Stanisław Kondracki – członek;</w:t>
      </w:r>
    </w:p>
    <w:p w:rsidR="002D27E3" w:rsidRPr="00E23411" w:rsidRDefault="002D27E3" w:rsidP="002D27E3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dr hab. inż. Ewa Wójcik – członek;</w:t>
      </w:r>
    </w:p>
    <w:p w:rsidR="002D27E3" w:rsidRPr="00E23411" w:rsidRDefault="002D27E3" w:rsidP="002D27E3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mgr Mariola Zając, przedstawiciel doktorantów – członek;</w:t>
      </w:r>
    </w:p>
    <w:p w:rsidR="002D27E3" w:rsidRPr="00E23411" w:rsidRDefault="002D27E3" w:rsidP="002D27E3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Julita Waszczuk, przedstawiciel studentów – członek.</w:t>
      </w:r>
    </w:p>
    <w:p w:rsidR="002D27E3" w:rsidRPr="00E23411" w:rsidRDefault="002D27E3" w:rsidP="002D27E3">
      <w:pPr>
        <w:numPr>
          <w:ilvl w:val="0"/>
          <w:numId w:val="4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Do zadań Komisji, o której mowa w ust. 1, w szczególności należy:</w:t>
      </w:r>
    </w:p>
    <w:p w:rsidR="002D27E3" w:rsidRPr="00E23411" w:rsidRDefault="002D27E3" w:rsidP="002D27E3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opracowywanie dokumentacji i wdrażania procedur oceny nauczycieli akademickich;</w:t>
      </w:r>
    </w:p>
    <w:p w:rsidR="002D27E3" w:rsidRPr="00E23411" w:rsidRDefault="002D27E3" w:rsidP="002D27E3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dokonywanie okresowych ocen nauczycieli akademickich;</w:t>
      </w:r>
    </w:p>
    <w:p w:rsidR="002D27E3" w:rsidRPr="00E23411" w:rsidRDefault="002D27E3" w:rsidP="002D27E3">
      <w:pPr>
        <w:pStyle w:val="Akapitzlist"/>
        <w:numPr>
          <w:ilvl w:val="0"/>
          <w:numId w:val="6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ocena nowo zatrudnianych nauczycieli.</w:t>
      </w:r>
    </w:p>
    <w:p w:rsidR="002D27E3" w:rsidRPr="005403EB" w:rsidRDefault="002D27E3" w:rsidP="002D27E3">
      <w:pPr>
        <w:numPr>
          <w:ilvl w:val="0"/>
          <w:numId w:val="4"/>
        </w:numPr>
        <w:spacing w:before="0" w:after="0" w:line="360" w:lineRule="auto"/>
        <w:jc w:val="both"/>
        <w:rPr>
          <w:rFonts w:cs="Arial"/>
        </w:rPr>
      </w:pPr>
      <w:r w:rsidRPr="00E23411">
        <w:rPr>
          <w:rFonts w:cs="Arial"/>
        </w:rPr>
        <w:t>Decyzja wchodzi w życie z dniem podpisania.</w:t>
      </w:r>
    </w:p>
    <w:p w:rsidR="002D27E3" w:rsidRPr="002D27E3" w:rsidRDefault="002D27E3" w:rsidP="002D27E3">
      <w:pPr>
        <w:pStyle w:val="Podpiswystawiajcego"/>
        <w:rPr>
          <w:sz w:val="24"/>
        </w:rPr>
      </w:pPr>
      <w:r w:rsidRPr="002D27E3">
        <w:rPr>
          <w:sz w:val="24"/>
        </w:rPr>
        <w:t>DZIEKAN</w:t>
      </w:r>
      <w:r w:rsidRPr="002D27E3">
        <w:rPr>
          <w:sz w:val="24"/>
        </w:rPr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413"/>
    <w:multiLevelType w:val="hybridMultilevel"/>
    <w:tmpl w:val="982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6859"/>
    <w:multiLevelType w:val="hybridMultilevel"/>
    <w:tmpl w:val="6A18B352"/>
    <w:lvl w:ilvl="0" w:tplc="E592A8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C719F3"/>
    <w:multiLevelType w:val="hybridMultilevel"/>
    <w:tmpl w:val="66C4EE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677F6A"/>
    <w:multiLevelType w:val="hybridMultilevel"/>
    <w:tmpl w:val="6A8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51C1"/>
    <w:multiLevelType w:val="hybridMultilevel"/>
    <w:tmpl w:val="C610F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7122DF"/>
    <w:multiLevelType w:val="hybridMultilevel"/>
    <w:tmpl w:val="0356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E3"/>
    <w:rsid w:val="002828CD"/>
    <w:rsid w:val="002D27E3"/>
    <w:rsid w:val="00390A60"/>
    <w:rsid w:val="00594B74"/>
    <w:rsid w:val="00871D0D"/>
    <w:rsid w:val="008F0500"/>
    <w:rsid w:val="00E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2D27E3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2D27E3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27E3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2D27E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2D27E3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27E3"/>
    <w:pPr>
      <w:ind w:left="720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D2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2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7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7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2D27E3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2D27E3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27E3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2D27E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2D27E3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27E3"/>
    <w:pPr>
      <w:ind w:left="720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D2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2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7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7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15/2020</dc:title>
  <dc:subject>Powołanie Wydziałowej Komisji do spraw Oceny Nauczycieli Akademickich na kadencję 2020-2024</dc:subject>
  <dc:creator>Dziekanat Wydziału Agrobioinżynierii i Nauk o Zwierzętach</dc:creator>
  <cp:lastModifiedBy>BLeoniak</cp:lastModifiedBy>
  <cp:revision>6</cp:revision>
  <cp:lastPrinted>2021-04-28T09:28:00Z</cp:lastPrinted>
  <dcterms:created xsi:type="dcterms:W3CDTF">2021-04-28T08:13:00Z</dcterms:created>
  <dcterms:modified xsi:type="dcterms:W3CDTF">2021-04-28T09:28:00Z</dcterms:modified>
</cp:coreProperties>
</file>